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W celu lepszej komunikacji oraz realizacji zadań mających na celu ochronę Pani/Pana danych osobowych wyznaczyliśmy Inspektora Ochrony Danych Osobowych, z którym jest możliwość kontaktu po adresem email: </w:t>
      </w:r>
      <w:hyperlink r:id="rId7" w:history="1">
        <w:r w:rsidR="00915180" w:rsidRPr="005B0423">
          <w:rPr>
            <w:rStyle w:val="Hipercze"/>
            <w:sz w:val="24"/>
            <w:szCs w:val="24"/>
          </w:rPr>
          <w:t>mgspzoz@interia.pl</w:t>
        </w:r>
      </w:hyperlink>
      <w:r w:rsidR="00915180">
        <w:rPr>
          <w:sz w:val="24"/>
          <w:szCs w:val="24"/>
        </w:rPr>
        <w:t xml:space="preserve"> </w:t>
      </w:r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będą przetwarzane</w:t>
      </w:r>
      <w:r w:rsidR="00915180">
        <w:rPr>
          <w:color w:val="222222"/>
          <w:sz w:val="24"/>
          <w:szCs w:val="24"/>
        </w:rPr>
        <w:t xml:space="preserve"> </w:t>
      </w:r>
      <w:r w:rsidRPr="00500CDB">
        <w:rPr>
          <w:color w:val="222222"/>
          <w:sz w:val="24"/>
          <w:szCs w:val="24"/>
        </w:rPr>
        <w:t xml:space="preserve">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Pr="00500CDB">
        <w:rPr>
          <w:color w:val="222222"/>
          <w:sz w:val="24"/>
          <w:szCs w:val="24"/>
        </w:rPr>
        <w:t>Świadczenie usługi odbioru, transportu i zagospodarowania odpadów komunalnych z</w:t>
      </w:r>
      <w:r>
        <w:rPr>
          <w:color w:val="222222"/>
          <w:sz w:val="24"/>
          <w:szCs w:val="24"/>
        </w:rPr>
        <w:t> </w:t>
      </w:r>
      <w:r w:rsidRPr="00500CDB">
        <w:rPr>
          <w:color w:val="222222"/>
          <w:sz w:val="24"/>
          <w:szCs w:val="24"/>
        </w:rPr>
        <w:t>Wiejskich Ośrodków Zdrowia w Kurozwękach, Wiśniowej i Wiązownicy Kolonii  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A24638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B92A3E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38" w:rsidRDefault="00A24638" w:rsidP="00500CDB">
      <w:pPr>
        <w:spacing w:after="0" w:line="240" w:lineRule="auto"/>
      </w:pPr>
      <w:r>
        <w:separator/>
      </w:r>
    </w:p>
  </w:endnote>
  <w:endnote w:type="continuationSeparator" w:id="0">
    <w:p w:rsidR="00A24638" w:rsidRDefault="00A24638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C1095C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915180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38" w:rsidRDefault="00A24638" w:rsidP="00500CDB">
      <w:pPr>
        <w:spacing w:after="0" w:line="240" w:lineRule="auto"/>
      </w:pPr>
      <w:r>
        <w:separator/>
      </w:r>
    </w:p>
  </w:footnote>
  <w:footnote w:type="continuationSeparator" w:id="0">
    <w:p w:rsidR="00A24638" w:rsidRDefault="00A24638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100EFB"/>
    <w:rsid w:val="0031578A"/>
    <w:rsid w:val="00500CDB"/>
    <w:rsid w:val="005D44CF"/>
    <w:rsid w:val="006C1D08"/>
    <w:rsid w:val="00726A8C"/>
    <w:rsid w:val="00915180"/>
    <w:rsid w:val="00927704"/>
    <w:rsid w:val="00A24638"/>
    <w:rsid w:val="00B92A3E"/>
    <w:rsid w:val="00C1095C"/>
    <w:rsid w:val="00C761EF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  <w:lang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4</cp:revision>
  <cp:lastPrinted>2020-03-09T09:23:00Z</cp:lastPrinted>
  <dcterms:created xsi:type="dcterms:W3CDTF">2020-03-05T08:44:00Z</dcterms:created>
  <dcterms:modified xsi:type="dcterms:W3CDTF">2020-03-09T09:23:00Z</dcterms:modified>
</cp:coreProperties>
</file>